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683"/>
        <w:gridCol w:w="205"/>
        <w:gridCol w:w="344"/>
        <w:gridCol w:w="42"/>
        <w:gridCol w:w="926"/>
        <w:gridCol w:w="88"/>
        <w:gridCol w:w="726"/>
        <w:gridCol w:w="518"/>
        <w:gridCol w:w="188"/>
        <w:gridCol w:w="712"/>
        <w:gridCol w:w="31"/>
        <w:gridCol w:w="587"/>
      </w:tblGrid>
      <w:tr w:rsidR="00BB55BF" w:rsidRPr="00D0566D" w:rsidTr="002F2292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bCs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/>
                <w:bCs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BB55BF" w:rsidRPr="00D0566D" w:rsidRDefault="00BB55BF" w:rsidP="002F2292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bCs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/>
                <w:bCs/>
                <w:sz w:val="20"/>
                <w:szCs w:val="20"/>
              </w:rPr>
              <w:t>NEIZRAVNI POREZI</w:t>
            </w:r>
          </w:p>
        </w:tc>
      </w:tr>
      <w:tr w:rsidR="00BB55BF" w:rsidRPr="00D0566D" w:rsidTr="00BB55BF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spacing w:after="0" w:line="240" w:lineRule="auto"/>
              <w:rPr>
                <w:rStyle w:val="Naglaeno"/>
                <w:rFonts w:ascii="Times New Roman" w:hAnsi="Times New Roman" w:cs="Arial"/>
                <w:b w:val="0"/>
                <w:bCs w:val="0"/>
                <w:sz w:val="20"/>
                <w:szCs w:val="20"/>
              </w:rPr>
            </w:pPr>
            <w:r w:rsidRPr="00D0566D">
              <w:rPr>
                <w:rStyle w:val="Naglaeno"/>
                <w:rFonts w:ascii="Times New Roman" w:hAnsi="Times New Roman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BB55B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333333"/>
                <w:sz w:val="20"/>
                <w:szCs w:val="20"/>
              </w:rPr>
              <w:t>EC</w:t>
            </w:r>
            <w:r>
              <w:rPr>
                <w:rFonts w:ascii="Times New Roman" w:hAnsi="Times New Roman" w:cs="Arial"/>
                <w:color w:val="333333"/>
                <w:sz w:val="20"/>
                <w:szCs w:val="20"/>
              </w:rPr>
              <w:t>S408</w:t>
            </w:r>
          </w:p>
        </w:tc>
        <w:tc>
          <w:tcPr>
            <w:tcW w:w="2288" w:type="dxa"/>
            <w:gridSpan w:val="6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BB55B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1</w:t>
            </w:r>
          </w:p>
        </w:tc>
      </w:tr>
      <w:tr w:rsidR="00BB55BF" w:rsidRPr="00881D2A" w:rsidTr="00BB55B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5BF" w:rsidRPr="00881D2A" w:rsidRDefault="00BB55BF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bookmarkStart w:id="0" w:name="_GoBack" w:colFirst="1" w:colLast="1"/>
            <w:r w:rsidRPr="00881D2A">
              <w:rPr>
                <w:rStyle w:val="Naglaeno"/>
                <w:rFonts w:ascii="Times New Roman" w:hAnsi="Times New Roman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5BF" w:rsidRPr="00944197" w:rsidRDefault="00944197" w:rsidP="00BB55BF">
            <w:pPr>
              <w:spacing w:after="0" w:line="240" w:lineRule="auto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Doc. Dr. sc. Paško Burnać</w:t>
            </w:r>
          </w:p>
        </w:tc>
        <w:tc>
          <w:tcPr>
            <w:tcW w:w="2288" w:type="dxa"/>
            <w:gridSpan w:val="6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5BF" w:rsidRPr="00881D2A" w:rsidRDefault="00BB55BF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881D2A">
              <w:rPr>
                <w:rFonts w:ascii="Times New Roman" w:hAnsi="Times New Roman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5BF" w:rsidRPr="00881D2A" w:rsidRDefault="00BB55BF" w:rsidP="00BB55B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881D2A">
              <w:rPr>
                <w:rFonts w:ascii="Times New Roman" w:hAnsi="Times New Roman" w:cs="Arial"/>
                <w:sz w:val="20"/>
                <w:szCs w:val="20"/>
              </w:rPr>
              <w:t>6</w:t>
            </w:r>
          </w:p>
        </w:tc>
      </w:tr>
      <w:tr w:rsidR="00BB55BF" w:rsidRPr="00D0566D" w:rsidTr="00BB55BF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B46E0">
              <w:rPr>
                <w:rFonts w:ascii="Times New Roman" w:hAnsi="Times New Roman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5BF" w:rsidRPr="00944197" w:rsidRDefault="00944197" w:rsidP="00BB55BF">
            <w:pPr>
              <w:spacing w:after="0" w:line="240" w:lineRule="auto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 w:rsidRPr="00944197">
              <w:rPr>
                <w:rFonts w:ascii="Times New Roman" w:hAnsi="Times New Roman" w:cs="Arial"/>
                <w:color w:val="FF0000"/>
                <w:sz w:val="20"/>
                <w:szCs w:val="20"/>
              </w:rPr>
              <w:t>Ante Tolj, mag. Oec.</w:t>
            </w:r>
          </w:p>
        </w:tc>
        <w:tc>
          <w:tcPr>
            <w:tcW w:w="2288" w:type="dxa"/>
            <w:gridSpan w:val="6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T</w:t>
            </w:r>
          </w:p>
        </w:tc>
      </w:tr>
      <w:bookmarkEnd w:id="0"/>
      <w:tr w:rsidR="00BB55BF" w:rsidRPr="00D0566D" w:rsidTr="00BB55BF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BB55B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288" w:type="dxa"/>
            <w:gridSpan w:val="6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BB55BF" w:rsidRPr="00D0566D" w:rsidTr="00BB55B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BB55B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6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5BF" w:rsidRPr="00944197" w:rsidRDefault="002B46E0" w:rsidP="00BB55B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944197">
              <w:rPr>
                <w:rFonts w:ascii="Times New Roman" w:hAnsi="Times New Roman" w:cs="Arial"/>
                <w:sz w:val="20"/>
                <w:szCs w:val="20"/>
              </w:rPr>
              <w:t>1</w:t>
            </w:r>
            <w:r w:rsidR="00BB55BF" w:rsidRPr="00944197">
              <w:rPr>
                <w:rFonts w:ascii="Times New Roman" w:hAnsi="Times New Roman" w:cs="Arial"/>
                <w:sz w:val="20"/>
                <w:szCs w:val="20"/>
              </w:rPr>
              <w:t>5%</w:t>
            </w:r>
          </w:p>
        </w:tc>
      </w:tr>
      <w:tr w:rsidR="00BB55BF" w:rsidRPr="00D0566D" w:rsidTr="002F2292">
        <w:tc>
          <w:tcPr>
            <w:tcW w:w="9464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bCs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/>
                <w:bCs/>
                <w:sz w:val="20"/>
                <w:szCs w:val="20"/>
              </w:rPr>
              <w:t>OPIS PREDMETA</w:t>
            </w:r>
          </w:p>
        </w:tc>
      </w:tr>
      <w:tr w:rsidR="00BB55BF" w:rsidRPr="00D0566D" w:rsidTr="002F229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-Objasniti pojam i ulogu neizravnih poreza u poreznom sustavu</w:t>
            </w:r>
          </w:p>
          <w:p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-Objasniti regulatorni okvir za neizravne poreze</w:t>
            </w:r>
          </w:p>
          <w:p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-Razumijevanje temeljnih pojmova i obračuna poreznih osnovica i stopa</w:t>
            </w:r>
          </w:p>
          <w:p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-Pripremiti porezne izvještaje</w:t>
            </w:r>
          </w:p>
        </w:tc>
      </w:tr>
      <w:tr w:rsidR="00BB55BF" w:rsidRPr="00D0566D" w:rsidTr="002F229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b/>
                <w:bCs/>
                <w:color w:val="FF0000"/>
                <w:sz w:val="20"/>
                <w:szCs w:val="20"/>
              </w:rPr>
            </w:pPr>
          </w:p>
          <w:p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  <w:p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BB55BF" w:rsidRPr="00D0566D" w:rsidTr="002F229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B55BF" w:rsidRPr="00D0566D" w:rsidRDefault="00BB55BF" w:rsidP="002F229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Ishod učenja predmeta:</w:t>
            </w:r>
          </w:p>
          <w:p w:rsidR="00BB55BF" w:rsidRPr="00D0566D" w:rsidRDefault="00BB55BF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Zaključiti o pojmu i ulozi neizravnih poreza u poreznom sustavu</w:t>
            </w:r>
            <w:r w:rsidR="00047906">
              <w:rPr>
                <w:rFonts w:ascii="Times New Roman" w:hAnsi="Times New Roman" w:cs="Arial"/>
                <w:sz w:val="20"/>
                <w:szCs w:val="20"/>
              </w:rPr>
              <w:t>.</w:t>
            </w:r>
          </w:p>
          <w:p w:rsidR="00BB55BF" w:rsidRPr="00D0566D" w:rsidRDefault="00BB55BF" w:rsidP="002F229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</w:p>
          <w:p w:rsidR="00BB55BF" w:rsidRPr="00D0566D" w:rsidRDefault="00BB55BF" w:rsidP="002F229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Pojedinačni ishodi učenja:</w:t>
            </w:r>
          </w:p>
          <w:p w:rsidR="00BB55BF" w:rsidRPr="00D0566D" w:rsidRDefault="00BB55BF" w:rsidP="002F2292">
            <w:pPr>
              <w:pStyle w:val="HTMLunaprijedoblikovano"/>
              <w:rPr>
                <w:rFonts w:ascii="Times New Roman" w:hAnsi="Times New Roman" w:cs="Arial"/>
              </w:rPr>
            </w:pPr>
            <w:r w:rsidRPr="00D0566D">
              <w:rPr>
                <w:rFonts w:ascii="Times New Roman" w:hAnsi="Times New Roman" w:cs="Arial"/>
              </w:rPr>
              <w:t>1. Usporediti načine primjene temeljnih pravila za primjenu sustava neizrav</w:t>
            </w:r>
            <w:r w:rsidR="00047906">
              <w:rPr>
                <w:rFonts w:ascii="Times New Roman" w:hAnsi="Times New Roman" w:cs="Arial"/>
              </w:rPr>
              <w:t>nih poreza.</w:t>
            </w:r>
          </w:p>
          <w:p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2. </w:t>
            </w:r>
            <w:r w:rsidR="00047906" w:rsidRPr="00047906">
              <w:rPr>
                <w:rFonts w:ascii="Times New Roman" w:hAnsi="Times New Roman" w:cs="Arial"/>
                <w:color w:val="FF0000"/>
                <w:sz w:val="20"/>
                <w:szCs w:val="20"/>
              </w:rPr>
              <w:t>Utvrditi</w:t>
            </w:r>
            <w:r w:rsidR="00047906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porezne propise </w:t>
            </w:r>
            <w:r w:rsidR="00047906">
              <w:rPr>
                <w:rFonts w:ascii="Times New Roman" w:hAnsi="Times New Roman" w:cs="Arial"/>
                <w:sz w:val="20"/>
                <w:szCs w:val="20"/>
              </w:rPr>
              <w:t>nužne pri formiranju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porezne osnovice</w:t>
            </w:r>
            <w:r w:rsidR="00047906">
              <w:rPr>
                <w:rFonts w:ascii="Times New Roman" w:hAnsi="Times New Roman" w:cs="Arial"/>
                <w:sz w:val="20"/>
                <w:szCs w:val="20"/>
              </w:rPr>
              <w:t>.</w:t>
            </w:r>
          </w:p>
          <w:p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3. Usporediti specifičnosti obračuna stopa PDV-a i posebnih poreza</w:t>
            </w:r>
            <w:r w:rsidR="00047906">
              <w:rPr>
                <w:rFonts w:ascii="Times New Roman" w:hAnsi="Times New Roman" w:cs="Arial"/>
                <w:sz w:val="20"/>
                <w:szCs w:val="20"/>
              </w:rPr>
              <w:t>.</w:t>
            </w:r>
          </w:p>
          <w:p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4 Izmjeriti specifičnosti obračuna za pojedina poslovna područja</w:t>
            </w:r>
            <w:r w:rsidR="00047906">
              <w:rPr>
                <w:rFonts w:ascii="Times New Roman" w:hAnsi="Times New Roman" w:cs="Arial"/>
                <w:sz w:val="20"/>
                <w:szCs w:val="20"/>
              </w:rPr>
              <w:t>.</w:t>
            </w:r>
          </w:p>
          <w:p w:rsidR="00BB55BF" w:rsidRPr="00D0566D" w:rsidRDefault="00BB55BF" w:rsidP="00047906">
            <w:pPr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Style w:val="shorttext"/>
                <w:rFonts w:ascii="Times New Roman" w:hAnsi="Times New Roman" w:cs="Arial"/>
                <w:sz w:val="20"/>
                <w:szCs w:val="20"/>
              </w:rPr>
              <w:t xml:space="preserve">5. Integrirati stečena znanja </w:t>
            </w:r>
            <w:r w:rsidR="00047906">
              <w:rPr>
                <w:rStyle w:val="shorttext"/>
                <w:rFonts w:ascii="Times New Roman" w:hAnsi="Times New Roman" w:cs="Arial"/>
                <w:sz w:val="20"/>
                <w:szCs w:val="20"/>
              </w:rPr>
              <w:t xml:space="preserve">kroz izradu </w:t>
            </w:r>
            <w:r w:rsidRPr="00D0566D">
              <w:rPr>
                <w:rStyle w:val="shorttext"/>
                <w:rFonts w:ascii="Times New Roman" w:hAnsi="Times New Roman" w:cs="Arial"/>
                <w:sz w:val="20"/>
                <w:szCs w:val="20"/>
              </w:rPr>
              <w:t>porezne prijave neizra</w:t>
            </w:r>
            <w:r w:rsidR="00047906">
              <w:rPr>
                <w:rStyle w:val="shorttext"/>
                <w:rFonts w:ascii="Times New Roman" w:hAnsi="Times New Roman" w:cs="Arial"/>
                <w:sz w:val="20"/>
                <w:szCs w:val="20"/>
              </w:rPr>
              <w:t>vnih poreza.</w:t>
            </w:r>
          </w:p>
        </w:tc>
      </w:tr>
      <w:tr w:rsidR="00BB55BF" w:rsidRPr="00D0566D" w:rsidTr="002F2292"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3776" w:type="dxa"/>
            <w:gridSpan w:val="7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Predavanja</w:t>
            </w:r>
          </w:p>
        </w:tc>
        <w:tc>
          <w:tcPr>
            <w:tcW w:w="3776" w:type="dxa"/>
            <w:gridSpan w:val="8"/>
            <w:tcBorders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Vježbe</w:t>
            </w:r>
          </w:p>
        </w:tc>
      </w:tr>
      <w:tr w:rsidR="00BB55BF" w:rsidRPr="00D0566D" w:rsidTr="002F2292"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318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Tema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Sati</w:t>
            </w:r>
          </w:p>
        </w:tc>
        <w:tc>
          <w:tcPr>
            <w:tcW w:w="3189" w:type="dxa"/>
            <w:gridSpan w:val="7"/>
            <w:tcBorders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Tema</w:t>
            </w:r>
          </w:p>
        </w:tc>
        <w:tc>
          <w:tcPr>
            <w:tcW w:w="587" w:type="dxa"/>
            <w:tcBorders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Sati</w:t>
            </w:r>
          </w:p>
        </w:tc>
      </w:tr>
      <w:tr w:rsidR="00BB55BF" w:rsidRPr="00D0566D" w:rsidTr="002F2292"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318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1. Predavanja-uvod pojmovno određenje neizravnih poreza</w:t>
            </w:r>
          </w:p>
          <w:p w:rsidR="00BB55BF" w:rsidRPr="00D0566D" w:rsidRDefault="00BB55BF" w:rsidP="002F2292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7"/>
            <w:tcBorders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1. Uvod pojmovno određenje neizravnih poreza</w:t>
            </w:r>
          </w:p>
          <w:p w:rsidR="00BB55BF" w:rsidRPr="00D0566D" w:rsidRDefault="00BB55BF" w:rsidP="002F2292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587" w:type="dxa"/>
            <w:tcBorders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BB55BF" w:rsidRPr="00D0566D" w:rsidTr="002F2292"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318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2. Pojmovno određenje poreza na dodanu vrijednost i posebnih poreza</w:t>
            </w:r>
          </w:p>
          <w:p w:rsidR="00BB55BF" w:rsidRPr="00D0566D" w:rsidRDefault="00BB55BF" w:rsidP="002F2292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7"/>
            <w:tcBorders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2. Pojmovno određenje poreza na dodanu vrijednost i posebnih poreza</w:t>
            </w:r>
          </w:p>
          <w:p w:rsidR="00BB55BF" w:rsidRPr="00D0566D" w:rsidRDefault="00BB55BF" w:rsidP="002F2292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587" w:type="dxa"/>
            <w:tcBorders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BB55BF" w:rsidRPr="00D0566D" w:rsidTr="002F2292"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318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3. Porez na dodanu vrijednost-predmet oporezivanja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7"/>
            <w:tcBorders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3. Porez na dodanu vrijednost-predmet oporezivanja</w:t>
            </w:r>
          </w:p>
        </w:tc>
        <w:tc>
          <w:tcPr>
            <w:tcW w:w="587" w:type="dxa"/>
            <w:tcBorders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BB55BF" w:rsidRPr="00D0566D" w:rsidTr="002F2292"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318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4. PDV-porezni obveznik-nastanak porezne obveze, mjesto oporezivanja, pretporez, povrat poreza i porezne stope</w:t>
            </w:r>
          </w:p>
          <w:p w:rsidR="00BB55BF" w:rsidRPr="00D0566D" w:rsidRDefault="00BB55BF" w:rsidP="002F2292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7"/>
            <w:tcBorders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4. PDV-porezni obveznik-nastanak porezne obveze, mjesto oporezivanja, pretporez, povrat poreza i porezne stope</w:t>
            </w:r>
          </w:p>
          <w:p w:rsidR="00BB55BF" w:rsidRPr="00D0566D" w:rsidRDefault="00BB55BF" w:rsidP="002F2292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587" w:type="dxa"/>
            <w:tcBorders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BB55BF" w:rsidRPr="00D0566D" w:rsidTr="002F2292"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318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5. PDV-oslobođenja. Financijske i trgovačke transakcije oslobođene PDV-a. Razdoblje oporezivanja.</w:t>
            </w:r>
          </w:p>
          <w:p w:rsidR="00BB55BF" w:rsidRPr="00D0566D" w:rsidRDefault="00BB55BF" w:rsidP="002F2292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7"/>
            <w:tcBorders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5. PDV-oslobođenja. Financijske i trgovačke transakcije oslobođene PDV-a. Razdoblje oporezivanja.</w:t>
            </w:r>
          </w:p>
          <w:p w:rsidR="00BB55BF" w:rsidRPr="00D0566D" w:rsidRDefault="00BB55BF" w:rsidP="002F2292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587" w:type="dxa"/>
            <w:tcBorders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BB55BF" w:rsidRPr="00D0566D" w:rsidTr="002F2292"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318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6. PDV-računi. Oporezivanje prema izdanim računima. Oporezivanje prema naplaćenim naknadama. Oporezivanje vlastite potrošnje.</w:t>
            </w:r>
          </w:p>
          <w:p w:rsidR="00BB55BF" w:rsidRPr="00D0566D" w:rsidRDefault="00BB55BF" w:rsidP="002F2292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7"/>
            <w:tcBorders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6. PDV-računi. Oporezivanje prema izdanim računima. Oporezivanje prema naplaćenim naknadama. Oporezivanje vlastite potrošnje.</w:t>
            </w:r>
          </w:p>
          <w:p w:rsidR="00BB55BF" w:rsidRPr="00D0566D" w:rsidRDefault="00BB55BF" w:rsidP="002F2292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587" w:type="dxa"/>
            <w:tcBorders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BB55BF" w:rsidRPr="00D0566D" w:rsidTr="002F2292"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318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7. Primjena PDV-a u pojedinim djelatnostima (trgovina, ugostiteljstvo, građevinarstvo).</w:t>
            </w:r>
          </w:p>
          <w:p w:rsidR="00BB55BF" w:rsidRPr="00D0566D" w:rsidRDefault="00BB55BF" w:rsidP="002F2292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7"/>
            <w:tcBorders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7. Primjena PDV-a u pojedinim djelatnostima (trgovina, ugostiteljstvo, građevinarstvo).</w:t>
            </w:r>
          </w:p>
          <w:p w:rsidR="00BB55BF" w:rsidRPr="00D0566D" w:rsidRDefault="00BB55BF" w:rsidP="002F2292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587" w:type="dxa"/>
            <w:tcBorders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BB55BF" w:rsidRPr="00D0566D" w:rsidTr="002F2292"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318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8. Oporezivanje usluga: uvoznih i izvoznih, oporezivanje usluga komisionara i posrednika.</w:t>
            </w:r>
          </w:p>
          <w:p w:rsidR="00BB55BF" w:rsidRPr="00D0566D" w:rsidRDefault="00BB55BF" w:rsidP="002F2292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7"/>
            <w:tcBorders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8. Oporezivanje usluga: uvoznih i izvoznih, oporezivanje usluga komisionara i posrednika.</w:t>
            </w:r>
          </w:p>
          <w:p w:rsidR="00BB55BF" w:rsidRPr="00D0566D" w:rsidRDefault="00BB55BF" w:rsidP="002F2292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587" w:type="dxa"/>
            <w:tcBorders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BB55BF" w:rsidRPr="00D0566D" w:rsidTr="002F2292"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318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9. Ustrojstveno knjigovodstveno evidentiranje PDV-a. Knjige ulaznih i izlaznih računa. Prijava poreza na dodanu vrijednost i čuvanje dokumentacije i nadzor.</w:t>
            </w:r>
          </w:p>
          <w:p w:rsidR="00BB55BF" w:rsidRPr="00D0566D" w:rsidRDefault="00BB55BF" w:rsidP="002F2292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7"/>
            <w:tcBorders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9. Ustrojstveno knjigovodstveno evidentiranje PDV-a. Knjige ulaznih i izlaznih računa. Prijava poreza na dodanu vrijednost i čuvanje dokumentacije i nadzor.</w:t>
            </w:r>
          </w:p>
          <w:p w:rsidR="00BB55BF" w:rsidRPr="00D0566D" w:rsidRDefault="00BB55BF" w:rsidP="002F2292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587" w:type="dxa"/>
            <w:tcBorders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BB55BF" w:rsidRPr="00D0566D" w:rsidTr="002F2292"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318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10. Posebni porezni: (trošarine, akcize), posebni porez na osobne automobile, ostala motorna vozila, plovila i zrakoplove</w:t>
            </w:r>
          </w:p>
          <w:p w:rsidR="00BB55BF" w:rsidRPr="00D0566D" w:rsidRDefault="00BB55BF" w:rsidP="002F2292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7"/>
            <w:tcBorders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10. Posebni porezni: (trošarine, akcize), posebni porez na osobne automobile, ostala motorna vozila, plovila i zrakoplove</w:t>
            </w:r>
          </w:p>
          <w:p w:rsidR="00BB55BF" w:rsidRPr="00D0566D" w:rsidRDefault="00BB55BF" w:rsidP="002F2292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587" w:type="dxa"/>
            <w:tcBorders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BB55BF" w:rsidRPr="00D0566D" w:rsidTr="002F2292"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318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11. Posebni porez na naftne derivate, posebni porez na alkohol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7"/>
            <w:tcBorders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11. Posebni porez na naftne derivate, posebni porez na alkohol</w:t>
            </w:r>
          </w:p>
        </w:tc>
        <w:tc>
          <w:tcPr>
            <w:tcW w:w="587" w:type="dxa"/>
            <w:tcBorders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BB55BF" w:rsidRPr="00D0566D" w:rsidTr="002F2292"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318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12. Posebni porez na pivo, posebni porez na bezalkoholna pića</w:t>
            </w:r>
          </w:p>
          <w:p w:rsidR="00BB55BF" w:rsidRPr="00D0566D" w:rsidRDefault="00BB55BF" w:rsidP="002F2292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7"/>
            <w:tcBorders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12. Posebni porez na pivo, posebni porez na bezalkoholna pića</w:t>
            </w:r>
          </w:p>
          <w:p w:rsidR="00BB55BF" w:rsidRPr="00D0566D" w:rsidRDefault="00BB55BF" w:rsidP="002F2292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587" w:type="dxa"/>
            <w:tcBorders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BB55BF" w:rsidRPr="00D0566D" w:rsidTr="002F2292"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318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13. Posebni porez na duhanske proizvode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7"/>
            <w:tcBorders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13. Posebni porez na duhanske proizvode</w:t>
            </w:r>
          </w:p>
        </w:tc>
        <w:tc>
          <w:tcPr>
            <w:tcW w:w="587" w:type="dxa"/>
            <w:tcBorders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BB55BF" w:rsidRPr="00D0566D" w:rsidTr="002F2292"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318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14. Posebni porez na kavu</w:t>
            </w:r>
          </w:p>
          <w:p w:rsidR="00BB55BF" w:rsidRPr="00D0566D" w:rsidRDefault="00BB55BF" w:rsidP="002F2292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7"/>
            <w:tcBorders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14. Posebni porez na kavu</w:t>
            </w:r>
          </w:p>
          <w:p w:rsidR="00BB55BF" w:rsidRPr="00D0566D" w:rsidRDefault="00BB55BF" w:rsidP="002F2292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587" w:type="dxa"/>
            <w:tcBorders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BB55BF" w:rsidRPr="00D0566D" w:rsidTr="002F2292"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318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15. Posebni porez na luksuzne proizvode i premije kasko osiguranja cestovnih vozila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7"/>
            <w:tcBorders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15. Posebni porez na luksuzne proizvode i premije kasko osiguranja cestovnih vozila</w:t>
            </w:r>
          </w:p>
        </w:tc>
        <w:tc>
          <w:tcPr>
            <w:tcW w:w="587" w:type="dxa"/>
            <w:tcBorders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BB55BF" w:rsidRPr="00D0566D" w:rsidTr="002F2292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Vrste izvođenja nastave: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eastAsia="MS Gothic" w:cs="Arial"/>
                <w:sz w:val="20"/>
                <w:szCs w:val="20"/>
                <w:lang w:val="hr-HR"/>
              </w:rPr>
              <w:t>x</w:t>
            </w:r>
            <w:r w:rsidRPr="00D0566D">
              <w:rPr>
                <w:rFonts w:cs="Arial"/>
                <w:sz w:val="20"/>
                <w:szCs w:val="20"/>
                <w:lang w:val="hr-HR"/>
              </w:rPr>
              <w:t xml:space="preserve"> 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predavanja</w:t>
            </w:r>
          </w:p>
          <w:p w:rsidR="00BB55BF" w:rsidRPr="00D0566D" w:rsidRDefault="00BB55BF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BB55BF" w:rsidRPr="00D0566D" w:rsidRDefault="00BB55BF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eastAsia="MS Gothic" w:cs="Arial"/>
                <w:b w:val="0"/>
                <w:sz w:val="20"/>
                <w:szCs w:val="20"/>
                <w:lang w:val="hr-HR"/>
              </w:rPr>
              <w:t xml:space="preserve">x 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BB55BF" w:rsidRPr="00D0566D" w:rsidRDefault="00BB55BF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:rsidR="00BB55BF" w:rsidRPr="00D0566D" w:rsidRDefault="00BB55BF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x mješovito e-učenje</w:t>
            </w:r>
          </w:p>
          <w:p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Arial Unicode MS" w:eastAsia="Arial Unicode MS" w:hAnsi="Arial Unicode MS" w:cs="Arial Unicode MS" w:hint="eastAsia"/>
                <w:sz w:val="20"/>
                <w:szCs w:val="20"/>
              </w:rPr>
              <w:t>☐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10"/>
            <w:vMerge w:val="restart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BB55BF" w:rsidRPr="00D0566D" w:rsidRDefault="00BB55BF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BB55BF" w:rsidRPr="00D0566D" w:rsidRDefault="00BB55BF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BB55BF" w:rsidRPr="00D0566D" w:rsidRDefault="00BB55BF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Arial Unicode MS" w:eastAsia="Arial Unicode MS" w:hAnsi="Arial Unicode MS" w:cs="Arial Unicode MS" w:hint="eastAsia"/>
                <w:sz w:val="20"/>
                <w:szCs w:val="20"/>
              </w:rPr>
              <w:t>☐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="003654F4"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="003654F4" w:rsidRPr="00D0566D">
              <w:rPr>
                <w:rFonts w:ascii="Times New Roman" w:hAnsi="Times New Roman" w:cs="Arial"/>
                <w:sz w:val="20"/>
                <w:szCs w:val="20"/>
              </w:rPr>
            </w:r>
            <w:r w:rsidR="003654F4"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D0566D">
              <w:rPr>
                <w:rFonts w:ascii="Arial" w:hAnsi="Arial" w:cs="Arial"/>
                <w:sz w:val="20"/>
                <w:szCs w:val="20"/>
              </w:rPr>
              <w:t> </w:t>
            </w:r>
            <w:r w:rsidRPr="00D0566D">
              <w:rPr>
                <w:rFonts w:ascii="Arial" w:hAnsi="Arial" w:cs="Arial"/>
                <w:sz w:val="20"/>
                <w:szCs w:val="20"/>
              </w:rPr>
              <w:t> </w:t>
            </w:r>
            <w:r w:rsidRPr="00D0566D">
              <w:rPr>
                <w:rFonts w:ascii="Arial" w:hAnsi="Arial" w:cs="Arial"/>
                <w:sz w:val="20"/>
                <w:szCs w:val="20"/>
              </w:rPr>
              <w:t> </w:t>
            </w:r>
            <w:r w:rsidRPr="00D0566D">
              <w:rPr>
                <w:rFonts w:ascii="Arial" w:hAnsi="Arial" w:cs="Arial"/>
                <w:sz w:val="20"/>
                <w:szCs w:val="20"/>
              </w:rPr>
              <w:t> </w:t>
            </w:r>
            <w:r w:rsidRPr="00D0566D">
              <w:rPr>
                <w:rFonts w:ascii="Arial" w:hAnsi="Arial" w:cs="Arial"/>
                <w:sz w:val="20"/>
                <w:szCs w:val="20"/>
              </w:rPr>
              <w:t> </w:t>
            </w:r>
            <w:r w:rsidR="003654F4"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  <w:r w:rsidRPr="00D0566D">
              <w:rPr>
                <w:rFonts w:ascii="Times New Roman" w:hAnsi="Times New Roman" w:cs="Arial"/>
                <w:b/>
                <w:bCs/>
                <w:sz w:val="20"/>
                <w:szCs w:val="20"/>
              </w:rPr>
              <w:t xml:space="preserve"> </w:t>
            </w:r>
            <w:r w:rsidRPr="00D0566D">
              <w:rPr>
                <w:rFonts w:ascii="Times New Roman" w:hAnsi="Times New Roman" w:cs="Arial"/>
                <w:b/>
                <w:bCs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BB55BF" w:rsidRPr="00D0566D" w:rsidTr="002F2292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10"/>
            <w:vMerge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</w:p>
        </w:tc>
      </w:tr>
      <w:tr w:rsidR="00BB55BF" w:rsidRPr="00D0566D" w:rsidTr="002F229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5BF" w:rsidRPr="00047906" w:rsidRDefault="002B46E0" w:rsidP="002B46E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Uvjet za ostvarenje prava na potpis je r</w:t>
            </w:r>
            <w:r w:rsidRPr="00B241A4">
              <w:rPr>
                <w:rFonts w:ascii="Arial" w:hAnsi="Arial" w:cs="Arial"/>
                <w:sz w:val="20"/>
                <w:szCs w:val="20"/>
              </w:rPr>
              <w:t>edovito pohađanje nastave</w:t>
            </w:r>
            <w:r>
              <w:rPr>
                <w:rFonts w:ascii="Arial" w:hAnsi="Arial" w:cs="Arial"/>
                <w:sz w:val="20"/>
                <w:szCs w:val="20"/>
              </w:rPr>
              <w:t xml:space="preserve"> – za redovne studente: 7</w:t>
            </w:r>
            <w:r w:rsidRPr="00B241A4">
              <w:rPr>
                <w:rFonts w:ascii="Arial" w:hAnsi="Arial" w:cs="Arial"/>
                <w:sz w:val="20"/>
                <w:szCs w:val="20"/>
              </w:rPr>
              <w:t>0% prisustvovanja na predavanjima i vježbama</w:t>
            </w:r>
            <w:r>
              <w:rPr>
                <w:rFonts w:ascii="Arial" w:hAnsi="Arial" w:cs="Arial"/>
                <w:sz w:val="20"/>
                <w:szCs w:val="20"/>
              </w:rPr>
              <w:t xml:space="preserve">; </w:t>
            </w:r>
            <w:r w:rsidRPr="00CB4EBC">
              <w:rPr>
                <w:rFonts w:ascii="Arial" w:hAnsi="Arial" w:cs="Arial"/>
                <w:color w:val="FF0000"/>
                <w:sz w:val="20"/>
                <w:szCs w:val="20"/>
              </w:rPr>
              <w:t>za izvanredne studente 50% prisustvovanja na predavanjima i vježbam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a.</w:t>
            </w:r>
          </w:p>
        </w:tc>
      </w:tr>
      <w:tr w:rsidR="00BB55BF" w:rsidRPr="00D0566D" w:rsidTr="002F2292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Praćenje rada studenata 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1 ECTS</w:t>
            </w:r>
          </w:p>
        </w:tc>
        <w:tc>
          <w:tcPr>
            <w:tcW w:w="1275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5BF" w:rsidRPr="00D0566D" w:rsidRDefault="003654F4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B55BF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pStyle w:val="FieldText"/>
              <w:rPr>
                <w:rFonts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5BF" w:rsidRPr="00D0566D" w:rsidRDefault="003654F4" w:rsidP="002F2292">
            <w:pPr>
              <w:pStyle w:val="FieldText"/>
              <w:rPr>
                <w:rFonts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B55BF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BB55BF" w:rsidRPr="00D0566D" w:rsidTr="002F229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BB55BF" w:rsidRPr="00D0566D" w:rsidRDefault="003654F4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B55BF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4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:rsidR="00BB55BF" w:rsidRPr="00D0566D" w:rsidRDefault="003654F4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B55BF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pStyle w:val="FieldText"/>
              <w:rPr>
                <w:rFonts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Vježbe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pStyle w:val="FieldText"/>
              <w:rPr>
                <w:rFonts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1 ECTS</w:t>
            </w:r>
          </w:p>
        </w:tc>
      </w:tr>
      <w:tr w:rsidR="00BB55BF" w:rsidRPr="00D0566D" w:rsidTr="002F229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BB55BF" w:rsidRPr="00D0566D" w:rsidRDefault="003654F4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B55BF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4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:rsidR="00BB55BF" w:rsidRPr="00D0566D" w:rsidRDefault="003654F4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B55BF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BB55BF" w:rsidRPr="00D0566D" w:rsidRDefault="003654F4" w:rsidP="002F2292">
            <w:pPr>
              <w:pStyle w:val="FieldText"/>
              <w:rPr>
                <w:rFonts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B55BF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  <w:r w:rsidR="00BB55BF"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</w:t>
            </w:r>
            <w:r w:rsidR="00BB55BF" w:rsidRPr="00D0566D"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5BF" w:rsidRPr="00D0566D" w:rsidRDefault="003654F4" w:rsidP="002F2292">
            <w:pPr>
              <w:pStyle w:val="FieldText"/>
              <w:rPr>
                <w:rFonts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B55BF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BB55BF" w:rsidRPr="00D0566D" w:rsidTr="002F229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4 ECTS*</w:t>
            </w:r>
          </w:p>
        </w:tc>
        <w:tc>
          <w:tcPr>
            <w:tcW w:w="1275" w:type="dxa"/>
            <w:gridSpan w:val="4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2 ECTS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BB55BF" w:rsidRPr="00D0566D" w:rsidRDefault="003654F4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B55BF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="00BB55BF"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5BF" w:rsidRPr="00D0566D" w:rsidRDefault="003654F4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B55BF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BB55BF" w:rsidRPr="00D0566D" w:rsidTr="002F229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  <w:highlight w:val="yellow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  <w:highlight w:val="yellow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 ECTS</w:t>
            </w:r>
          </w:p>
        </w:tc>
        <w:tc>
          <w:tcPr>
            <w:tcW w:w="1275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  <w:highlight w:val="yellow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5BF" w:rsidRPr="00D0566D" w:rsidRDefault="003654F4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  <w:highlight w:val="yellow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B55BF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5BF" w:rsidRPr="00D0566D" w:rsidRDefault="003654F4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B55BF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="00BB55BF"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5BF" w:rsidRPr="00D0566D" w:rsidRDefault="003654F4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B55BF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BB55BF" w:rsidRPr="00D0566D" w:rsidTr="002F229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Ocjenjivanje i vrjednovanje rada studenata tijekom nastave i na završnom </w:t>
            </w: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lastRenderedPageBreak/>
              <w:t>ispitu</w:t>
            </w:r>
          </w:p>
        </w:tc>
        <w:tc>
          <w:tcPr>
            <w:tcW w:w="7552" w:type="dxa"/>
            <w:gridSpan w:val="15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B46E0" w:rsidRPr="00EB43E2" w:rsidRDefault="002B46E0" w:rsidP="002B46E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E3CBB">
              <w:rPr>
                <w:rFonts w:ascii="Arial" w:hAnsi="Arial" w:cs="Arial"/>
                <w:color w:val="FF0000"/>
                <w:sz w:val="20"/>
                <w:szCs w:val="20"/>
              </w:rPr>
              <w:lastRenderedPageBreak/>
              <w:t>Tijekom semestra održat će se pisane provjere znanja putem dva kolokvija. Oba kolokvija nose 100% od ukupne ocjene i sastoje se od teorijskih pitanja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i numeričkih zadataka</w:t>
            </w:r>
            <w:r w:rsidRPr="003E3CBB"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B43E2">
              <w:rPr>
                <w:rFonts w:ascii="Arial" w:hAnsi="Arial" w:cs="Arial"/>
                <w:color w:val="FF0000"/>
                <w:sz w:val="20"/>
                <w:szCs w:val="20"/>
              </w:rPr>
              <w:t xml:space="preserve">Kolokvij je položen ukoliko je ostvareno 60% ukupnog broja bodova. Studenti koji polože oba kolokvija, položili su ispit. Konačna ocjena formira se kao </w:t>
            </w:r>
            <w:r w:rsidRPr="00EB43E2">
              <w:rPr>
                <w:rFonts w:ascii="Arial" w:hAnsi="Arial" w:cs="Arial"/>
                <w:color w:val="FF0000"/>
                <w:sz w:val="20"/>
                <w:szCs w:val="20"/>
              </w:rPr>
              <w:lastRenderedPageBreak/>
              <w:t xml:space="preserve">prosjek postignutih bodova na oba kolokvija. </w:t>
            </w:r>
          </w:p>
          <w:p w:rsidR="002B46E0" w:rsidRPr="00EB43E2" w:rsidRDefault="002B46E0" w:rsidP="002B46E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2B46E0" w:rsidRPr="007F27FF" w:rsidRDefault="002B46E0" w:rsidP="002B46E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Bodovni pragovi i odgovarajuće ocjene za pisane provjere znanja:</w:t>
            </w:r>
          </w:p>
          <w:p w:rsidR="002B46E0" w:rsidRPr="007F27FF" w:rsidRDefault="002B46E0" w:rsidP="002B46E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0-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5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9      nedovoljan (1)</w:t>
            </w:r>
          </w:p>
          <w:p w:rsidR="002B46E0" w:rsidRPr="007F27FF" w:rsidRDefault="002B46E0" w:rsidP="002B46E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60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-6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9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    dovoljan (2)</w:t>
            </w:r>
          </w:p>
          <w:p w:rsidR="002B46E0" w:rsidRPr="007F27FF" w:rsidRDefault="002B46E0" w:rsidP="002B46E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70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-7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9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    dobar (3)</w:t>
            </w:r>
          </w:p>
          <w:p w:rsidR="002B46E0" w:rsidRPr="007F27FF" w:rsidRDefault="002B46E0" w:rsidP="002B46E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80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-8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9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    vrlo dobar (4)</w:t>
            </w:r>
          </w:p>
          <w:p w:rsidR="002B46E0" w:rsidRDefault="002B46E0" w:rsidP="002B46E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90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-100  izvrstan (5)</w:t>
            </w:r>
          </w:p>
          <w:p w:rsidR="002B46E0" w:rsidRDefault="002B46E0" w:rsidP="002B46E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B55BF" w:rsidRPr="00047906" w:rsidRDefault="002B46E0" w:rsidP="002B46E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Završni i</w:t>
            </w:r>
            <w:r w:rsidRPr="006D460E">
              <w:rPr>
                <w:rFonts w:ascii="Arial" w:hAnsi="Arial" w:cs="Arial"/>
                <w:color w:val="FF0000"/>
                <w:sz w:val="20"/>
                <w:szCs w:val="20"/>
              </w:rPr>
              <w:t xml:space="preserve">spit se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sastoji od pisanog i usmenog dijela. Usmenom dijelu može pristupiti student koji je ostvario minimalno 60% bodova na pisanom dijelu ispita. Konačna ocjena se 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formira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na temelju prosjeka pisanog i usmenog dijela.</w:t>
            </w:r>
          </w:p>
        </w:tc>
      </w:tr>
      <w:tr w:rsidR="00BB55BF" w:rsidRPr="00D0566D" w:rsidTr="002F2292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9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bCs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/>
                <w:bCs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bCs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/>
                <w:bCs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bCs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/>
                <w:bCs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2B46E0" w:rsidRPr="00D0566D" w:rsidTr="002F229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B46E0" w:rsidRPr="00D0566D" w:rsidRDefault="002B46E0" w:rsidP="002F22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9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B46E0" w:rsidRPr="00D0566D" w:rsidRDefault="002B46E0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901E65">
              <w:rPr>
                <w:rFonts w:ascii="Times New Roman" w:hAnsi="Times New Roman" w:cs="Arial"/>
                <w:color w:val="FF0000"/>
                <w:sz w:val="20"/>
                <w:szCs w:val="20"/>
              </w:rPr>
              <w:t>Letnić, R., Nastavni materijali s predavanja i vježbi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B46E0" w:rsidRPr="00D0566D" w:rsidRDefault="002B46E0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B46E0" w:rsidRPr="002B46E0" w:rsidRDefault="002B46E0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>Moodle</w:t>
            </w:r>
          </w:p>
        </w:tc>
      </w:tr>
      <w:tr w:rsidR="00BB55BF" w:rsidRPr="00D0566D" w:rsidTr="002F229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9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B55BF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Hrvatski porezni sustav- Priručnik Ministarstva financija, 2013.</w:t>
            </w:r>
            <w:r w:rsidR="002B46E0" w:rsidRPr="00D0566D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hyperlink r:id="rId7" w:history="1">
              <w:r w:rsidR="002B46E0" w:rsidRPr="003E6FE1">
                <w:rPr>
                  <w:rStyle w:val="Hiperveza"/>
                  <w:rFonts w:ascii="Times New Roman" w:hAnsi="Times New Roman" w:cs="Arial"/>
                  <w:sz w:val="20"/>
                  <w:szCs w:val="20"/>
                </w:rPr>
                <w:t>http://www.porezna-uprava.hr/publikacije/p_prirucnici_brosure.asp?id=b05d2</w:t>
              </w:r>
            </w:hyperlink>
          </w:p>
          <w:p w:rsidR="002B46E0" w:rsidRPr="00D0566D" w:rsidRDefault="002B46E0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B55BF" w:rsidRPr="00D0566D" w:rsidRDefault="003654F4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B55BF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B55BF" w:rsidRPr="002B46E0" w:rsidRDefault="002B46E0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 w:rsidRPr="002B46E0">
              <w:rPr>
                <w:rFonts w:ascii="Times New Roman" w:hAnsi="Times New Roman" w:cs="Arial"/>
                <w:color w:val="FF0000"/>
                <w:sz w:val="20"/>
                <w:szCs w:val="20"/>
              </w:rPr>
              <w:t>Internet</w:t>
            </w:r>
          </w:p>
        </w:tc>
      </w:tr>
      <w:tr w:rsidR="00BB55BF" w:rsidRPr="00D0566D" w:rsidTr="002F229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9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B55BF" w:rsidRDefault="00BB55BF" w:rsidP="00047906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P</w:t>
            </w:r>
            <w:r w:rsidR="00047906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DV </w:t>
            </w: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za početnike - Priručnik Ministarstva financija, 2013.</w:t>
            </w:r>
          </w:p>
          <w:p w:rsidR="002B46E0" w:rsidRDefault="00A0736F" w:rsidP="00047906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hyperlink r:id="rId8" w:history="1">
              <w:r w:rsidR="002B46E0" w:rsidRPr="003E6FE1">
                <w:rPr>
                  <w:rStyle w:val="Hiperveza"/>
                  <w:rFonts w:ascii="Times New Roman" w:hAnsi="Times New Roman" w:cs="Arial"/>
                  <w:sz w:val="20"/>
                  <w:szCs w:val="20"/>
                </w:rPr>
                <w:t>http://www.porezna-uprava.hr/publikacije/p_prirucnici_brosure.asp?id=b05d2</w:t>
              </w:r>
            </w:hyperlink>
          </w:p>
          <w:p w:rsidR="002B46E0" w:rsidRPr="00D0566D" w:rsidRDefault="002B46E0" w:rsidP="00047906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B55BF" w:rsidRPr="00D0566D" w:rsidRDefault="00BB55BF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B55BF" w:rsidRPr="00D0566D" w:rsidRDefault="002B46E0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B46E0">
              <w:rPr>
                <w:rFonts w:ascii="Times New Roman" w:hAnsi="Times New Roman" w:cs="Arial"/>
                <w:color w:val="FF0000"/>
                <w:sz w:val="20"/>
                <w:szCs w:val="20"/>
              </w:rPr>
              <w:t>Internet</w:t>
            </w:r>
          </w:p>
        </w:tc>
      </w:tr>
      <w:tr w:rsidR="00BB55BF" w:rsidRPr="00D0566D" w:rsidTr="002F229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Dopunska literatura </w:t>
            </w:r>
          </w:p>
          <w:p w:rsidR="00BB55BF" w:rsidRPr="00D0566D" w:rsidRDefault="00BB55BF" w:rsidP="002F229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D2D94" w:rsidRPr="007F27FF" w:rsidRDefault="00CD2D94" w:rsidP="00CD2D94">
            <w:pPr>
              <w:tabs>
                <w:tab w:val="left" w:pos="2820"/>
              </w:tabs>
              <w:spacing w:after="0"/>
              <w:rPr>
                <w:rFonts w:ascii="Arial" w:hAnsi="Arial" w:cs="Arial"/>
                <w:i/>
                <w:noProof/>
                <w:color w:val="FF0000"/>
                <w:sz w:val="20"/>
                <w:szCs w:val="20"/>
              </w:rPr>
            </w:pPr>
            <w:r w:rsidRPr="007F27FF">
              <w:rPr>
                <w:rFonts w:ascii="Arial" w:hAnsi="Arial" w:cs="Arial"/>
                <w:i/>
                <w:noProof/>
                <w:color w:val="FF0000"/>
                <w:sz w:val="20"/>
                <w:szCs w:val="20"/>
              </w:rPr>
              <w:t>Udžbenici i knjige:</w:t>
            </w:r>
          </w:p>
          <w:p w:rsidR="00BB55BF" w:rsidRPr="00CD2D94" w:rsidRDefault="00BB55BF" w:rsidP="00CD2D94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CD2D94">
              <w:rPr>
                <w:rFonts w:ascii="Times New Roman" w:hAnsi="Times New Roman" w:cs="Arial"/>
                <w:color w:val="000000"/>
                <w:sz w:val="20"/>
                <w:szCs w:val="20"/>
              </w:rPr>
              <w:t>Jure Šimović i suradnici</w:t>
            </w:r>
            <w:r w:rsidR="00CD2D94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: </w:t>
            </w:r>
            <w:r w:rsidRPr="00CD2D94">
              <w:rPr>
                <w:rFonts w:ascii="Times New Roman" w:hAnsi="Times New Roman" w:cs="Arial"/>
                <w:color w:val="000000"/>
                <w:sz w:val="20"/>
                <w:szCs w:val="20"/>
              </w:rPr>
              <w:t>Porez na dodanu vrijednost, Birotehnika Zagreb 97</w:t>
            </w:r>
          </w:p>
          <w:p w:rsidR="00BB55BF" w:rsidRPr="00CD2D94" w:rsidRDefault="00BB55BF" w:rsidP="00CD2D94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CD2D94">
              <w:rPr>
                <w:rFonts w:ascii="Times New Roman" w:hAnsi="Times New Roman" w:cs="Arial"/>
                <w:color w:val="000000"/>
                <w:sz w:val="20"/>
                <w:szCs w:val="20"/>
              </w:rPr>
              <w:t>Katica Amidžić Peročević i dr.: Porez na dodanu vrijednost, Poslovni zbornik, Zagreb, sr</w:t>
            </w:r>
            <w:r w:rsidR="00047906" w:rsidRPr="00CD2D94">
              <w:rPr>
                <w:rFonts w:ascii="Times New Roman" w:hAnsi="Times New Roman" w:cs="Arial"/>
                <w:color w:val="000000"/>
                <w:sz w:val="20"/>
                <w:szCs w:val="20"/>
              </w:rPr>
              <w:t>p</w:t>
            </w:r>
            <w:r w:rsidRPr="00CD2D94">
              <w:rPr>
                <w:rFonts w:ascii="Times New Roman" w:hAnsi="Times New Roman" w:cs="Arial"/>
                <w:color w:val="000000"/>
                <w:sz w:val="20"/>
                <w:szCs w:val="20"/>
              </w:rPr>
              <w:t>anj 2003.</w:t>
            </w:r>
          </w:p>
          <w:p w:rsidR="00BB55BF" w:rsidRPr="00CD2D94" w:rsidRDefault="00BB55BF" w:rsidP="00CD2D94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CD2D94">
              <w:rPr>
                <w:rFonts w:ascii="Times New Roman" w:hAnsi="Times New Roman" w:cs="Arial"/>
                <w:color w:val="000000"/>
                <w:sz w:val="20"/>
                <w:szCs w:val="20"/>
              </w:rPr>
              <w:t>Nikola Mijatović: Oporezivanje prometa, Pravni fakultet Zagreb, 2005.</w:t>
            </w:r>
          </w:p>
          <w:p w:rsidR="00BB55BF" w:rsidRPr="00CD2D94" w:rsidRDefault="00BB55BF" w:rsidP="00CD2D94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CD2D94">
              <w:rPr>
                <w:rFonts w:ascii="Times New Roman" w:hAnsi="Times New Roman" w:cs="Arial"/>
                <w:color w:val="000000"/>
                <w:sz w:val="20"/>
                <w:szCs w:val="20"/>
              </w:rPr>
              <w:t>Jure Šimović</w:t>
            </w:r>
            <w:r w:rsidR="00CD2D94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, </w:t>
            </w:r>
            <w:r w:rsidRPr="00CD2D94">
              <w:rPr>
                <w:rFonts w:ascii="Times New Roman" w:hAnsi="Times New Roman" w:cs="Arial"/>
                <w:color w:val="000000"/>
                <w:sz w:val="20"/>
                <w:szCs w:val="20"/>
              </w:rPr>
              <w:t>Hrvoje Šimović: Fiskalni sustav i fiskalna politika Europske Unije Pravni fakultet, Zagreb, 2006.</w:t>
            </w:r>
          </w:p>
          <w:p w:rsidR="00BB55BF" w:rsidRPr="00CD2D94" w:rsidRDefault="00BB55BF" w:rsidP="00CD2D94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CD2D94">
              <w:rPr>
                <w:rFonts w:ascii="Times New Roman" w:hAnsi="Times New Roman" w:cs="Arial"/>
                <w:color w:val="000000"/>
                <w:sz w:val="20"/>
                <w:szCs w:val="20"/>
              </w:rPr>
              <w:t>Porezi-Zbirka propisa o porezima 2012.</w:t>
            </w:r>
            <w:r w:rsidR="00CD2D94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, </w:t>
            </w:r>
            <w:r w:rsidRPr="00CD2D94">
              <w:rPr>
                <w:rFonts w:ascii="Times New Roman" w:hAnsi="Times New Roman" w:cs="Arial"/>
                <w:color w:val="000000"/>
                <w:sz w:val="20"/>
                <w:szCs w:val="20"/>
              </w:rPr>
              <w:t>RRIF Zagreb 2012.</w:t>
            </w:r>
          </w:p>
          <w:p w:rsidR="00CD2D94" w:rsidRDefault="00BB55BF" w:rsidP="00CD2D94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CD2D94">
              <w:rPr>
                <w:rFonts w:ascii="Times New Roman" w:hAnsi="Times New Roman" w:cs="Arial"/>
                <w:color w:val="000000"/>
                <w:sz w:val="20"/>
                <w:szCs w:val="20"/>
              </w:rPr>
              <w:t>Hrvatski porezni propisi</w:t>
            </w:r>
            <w:r w:rsidR="00CD2D94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, </w:t>
            </w:r>
            <w:r w:rsidRPr="00CD2D94">
              <w:rPr>
                <w:rFonts w:ascii="Times New Roman" w:hAnsi="Times New Roman" w:cs="Arial"/>
                <w:color w:val="000000"/>
                <w:sz w:val="20"/>
                <w:szCs w:val="20"/>
              </w:rPr>
              <w:t>RIF, Zagreb, 2012.</w:t>
            </w:r>
          </w:p>
          <w:p w:rsidR="00CD2D94" w:rsidRDefault="00CD2D94" w:rsidP="00CD2D94">
            <w:pPr>
              <w:spacing w:after="0" w:line="240" w:lineRule="auto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</w:p>
          <w:p w:rsidR="00CD2D94" w:rsidRPr="007F27FF" w:rsidRDefault="00CD2D94" w:rsidP="00CD2D94">
            <w:pPr>
              <w:spacing w:after="0" w:line="240" w:lineRule="auto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7F27FF">
              <w:rPr>
                <w:rFonts w:ascii="Arial" w:hAnsi="Arial" w:cs="Arial"/>
                <w:i/>
                <w:color w:val="FF0000"/>
                <w:sz w:val="20"/>
                <w:szCs w:val="20"/>
              </w:rPr>
              <w:t>Ostali izvori:</w:t>
            </w:r>
          </w:p>
          <w:p w:rsidR="00BB55BF" w:rsidRPr="00CD2D94" w:rsidRDefault="00BB55BF" w:rsidP="00CD2D94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CD2D94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Zakon o PDV-u </w:t>
            </w:r>
          </w:p>
          <w:p w:rsidR="00BB55BF" w:rsidRPr="00CD2D94" w:rsidRDefault="00BB55BF" w:rsidP="00CD2D94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CD2D94">
              <w:rPr>
                <w:rFonts w:ascii="Times New Roman" w:hAnsi="Times New Roman" w:cs="Arial"/>
                <w:color w:val="000000"/>
                <w:sz w:val="20"/>
                <w:szCs w:val="20"/>
              </w:rPr>
              <w:t>Zakon o posebnim porezima</w:t>
            </w:r>
          </w:p>
        </w:tc>
      </w:tr>
      <w:tr w:rsidR="00BB55BF" w:rsidRPr="00D0566D" w:rsidTr="002F229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B55BF" w:rsidRPr="00D0566D" w:rsidRDefault="00BB55BF" w:rsidP="00BB55BF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Praćenje pohađanja nastave i uspješnosti izvršenja ostalih obveza studenata (nastavnik)</w:t>
            </w:r>
          </w:p>
          <w:p w:rsidR="00BB55BF" w:rsidRPr="00D0566D" w:rsidRDefault="00BB55BF" w:rsidP="00BB55BF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Nadzor izvođenja nastave (prodekan za nastavu)</w:t>
            </w:r>
          </w:p>
          <w:p w:rsidR="00BB55BF" w:rsidRPr="00D0566D" w:rsidRDefault="00BB55BF" w:rsidP="00BB55BF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Analiza uspješnosti studiranja po svim predmetima studija (prodekan za nastavu)</w:t>
            </w:r>
          </w:p>
          <w:p w:rsidR="00BB55BF" w:rsidRPr="00D0566D" w:rsidRDefault="00BB55BF" w:rsidP="00BB55BF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BB55BF" w:rsidRPr="00D0566D" w:rsidRDefault="00BB55BF" w:rsidP="00BB55BF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BB55BF" w:rsidRPr="00D0566D" w:rsidTr="002F229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B55BF" w:rsidRPr="00D0566D" w:rsidRDefault="003654F4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B55BF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</w:tbl>
    <w:p w:rsidR="006334CF" w:rsidRDefault="006334CF"/>
    <w:sectPr w:rsidR="006334CF" w:rsidSect="0016215F">
      <w:pgSz w:w="11906" w:h="16838" w:code="9"/>
      <w:pgMar w:top="1417" w:right="1417" w:bottom="1417" w:left="1417" w:header="709" w:footer="709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736F" w:rsidRDefault="00A0736F" w:rsidP="00BB55BF">
      <w:pPr>
        <w:spacing w:after="0" w:line="240" w:lineRule="auto"/>
      </w:pPr>
      <w:r>
        <w:separator/>
      </w:r>
    </w:p>
  </w:endnote>
  <w:endnote w:type="continuationSeparator" w:id="0">
    <w:p w:rsidR="00A0736F" w:rsidRDefault="00A0736F" w:rsidP="00BB55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736F" w:rsidRDefault="00A0736F" w:rsidP="00BB55BF">
      <w:pPr>
        <w:spacing w:after="0" w:line="240" w:lineRule="auto"/>
      </w:pPr>
      <w:r>
        <w:separator/>
      </w:r>
    </w:p>
  </w:footnote>
  <w:footnote w:type="continuationSeparator" w:id="0">
    <w:p w:rsidR="00A0736F" w:rsidRDefault="00A0736F" w:rsidP="00BB55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713E8"/>
    <w:multiLevelType w:val="hybridMultilevel"/>
    <w:tmpl w:val="A9FA76C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F83908"/>
    <w:multiLevelType w:val="hybridMultilevel"/>
    <w:tmpl w:val="5A028518"/>
    <w:lvl w:ilvl="0" w:tplc="F0F8030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55BF"/>
    <w:rsid w:val="00047906"/>
    <w:rsid w:val="0016215F"/>
    <w:rsid w:val="00200C58"/>
    <w:rsid w:val="002258B6"/>
    <w:rsid w:val="00277CA6"/>
    <w:rsid w:val="00295D17"/>
    <w:rsid w:val="002B46E0"/>
    <w:rsid w:val="0034707C"/>
    <w:rsid w:val="003654F4"/>
    <w:rsid w:val="003B0572"/>
    <w:rsid w:val="00405697"/>
    <w:rsid w:val="00567A28"/>
    <w:rsid w:val="006334CF"/>
    <w:rsid w:val="006D2C3C"/>
    <w:rsid w:val="00713782"/>
    <w:rsid w:val="007321E1"/>
    <w:rsid w:val="0079310F"/>
    <w:rsid w:val="00873ECE"/>
    <w:rsid w:val="00881D2A"/>
    <w:rsid w:val="00936DFF"/>
    <w:rsid w:val="00944197"/>
    <w:rsid w:val="00964F3C"/>
    <w:rsid w:val="009657D6"/>
    <w:rsid w:val="00A0736F"/>
    <w:rsid w:val="00A42A07"/>
    <w:rsid w:val="00AD5EE9"/>
    <w:rsid w:val="00BB55BF"/>
    <w:rsid w:val="00C3604F"/>
    <w:rsid w:val="00CD2D94"/>
    <w:rsid w:val="00D24081"/>
    <w:rsid w:val="00D81E7B"/>
    <w:rsid w:val="00DA5B0F"/>
    <w:rsid w:val="00DC7D2A"/>
    <w:rsid w:val="00E723A8"/>
    <w:rsid w:val="00F475CF"/>
    <w:rsid w:val="00FC3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8694C"/>
  <w15:docId w15:val="{D1B3CF10-7885-45BF-B26F-B97E9DD28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55BF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BB55BF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99"/>
    <w:qFormat/>
    <w:rsid w:val="00BB55BF"/>
    <w:rPr>
      <w:rFonts w:cs="Times New Roman"/>
      <w:b/>
      <w:bCs/>
    </w:rPr>
  </w:style>
  <w:style w:type="paragraph" w:styleId="Odlomakpopisa">
    <w:name w:val="List Paragraph"/>
    <w:basedOn w:val="Normal"/>
    <w:uiPriority w:val="99"/>
    <w:qFormat/>
    <w:rsid w:val="00BB55BF"/>
    <w:pPr>
      <w:ind w:left="720"/>
      <w:contextualSpacing/>
    </w:pPr>
  </w:style>
  <w:style w:type="paragraph" w:styleId="HTMLunaprijedoblikovano">
    <w:name w:val="HTML Preformatted"/>
    <w:basedOn w:val="Normal"/>
    <w:link w:val="HTMLunaprijedoblikovanoChar"/>
    <w:uiPriority w:val="99"/>
    <w:rsid w:val="00BB55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unaprijedoblikovanoChar">
    <w:name w:val="HTML unaprijed oblikovano Char"/>
    <w:basedOn w:val="Zadanifontodlomka"/>
    <w:link w:val="HTMLunaprijedoblikovano"/>
    <w:uiPriority w:val="99"/>
    <w:rsid w:val="00BB55BF"/>
    <w:rPr>
      <w:rFonts w:ascii="Courier New" w:eastAsia="Times New Roman" w:hAnsi="Courier New" w:cs="Courier New"/>
      <w:sz w:val="20"/>
      <w:szCs w:val="20"/>
    </w:rPr>
  </w:style>
  <w:style w:type="character" w:customStyle="1" w:styleId="shorttext">
    <w:name w:val="short_text"/>
    <w:basedOn w:val="Zadanifontodlomka"/>
    <w:uiPriority w:val="99"/>
    <w:rsid w:val="00BB55BF"/>
    <w:rPr>
      <w:rFonts w:cs="Times New Roman"/>
    </w:rPr>
  </w:style>
  <w:style w:type="paragraph" w:styleId="Zaglavlje">
    <w:name w:val="header"/>
    <w:basedOn w:val="Normal"/>
    <w:link w:val="ZaglavljeChar"/>
    <w:uiPriority w:val="99"/>
    <w:semiHidden/>
    <w:unhideWhenUsed/>
    <w:rsid w:val="00BB55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BB55BF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semiHidden/>
    <w:unhideWhenUsed/>
    <w:rsid w:val="00BB55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BB55BF"/>
    <w:rPr>
      <w:rFonts w:ascii="Calibri" w:eastAsia="Calibri" w:hAnsi="Calibri" w:cs="Times New Roman"/>
    </w:rPr>
  </w:style>
  <w:style w:type="character" w:styleId="Hiperveza">
    <w:name w:val="Hyperlink"/>
    <w:basedOn w:val="Zadanifontodlomka"/>
    <w:uiPriority w:val="99"/>
    <w:unhideWhenUsed/>
    <w:rsid w:val="002B46E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rezna-uprava.hr/publikacije/p_prirucnici_brosure.asp?id=b05d2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orezna-uprava.hr/publikacije/p_prirucnici_brosure.asp?id=b05d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1175</Words>
  <Characters>6704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4</cp:revision>
  <dcterms:created xsi:type="dcterms:W3CDTF">2018-06-07T10:29:00Z</dcterms:created>
  <dcterms:modified xsi:type="dcterms:W3CDTF">2019-10-21T11:28:00Z</dcterms:modified>
</cp:coreProperties>
</file>